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png" ContentType="image/png"/>
  <Override PartName="/word/media/rId41.png" ContentType="image/png"/>
  <Override PartName="/word/media/rId45.png" ContentType="image/png"/>
  <Override PartName="/word/media/rId60.png" ContentType="image/png"/>
  <Override PartName="/word/media/rId38.png" ContentType="image/png"/>
  <Override PartName="/word/media/rId63.png" ContentType="image/png"/>
  <Override PartName="/word/media/rId54.png" ContentType="image/png"/>
  <Override PartName="/word/media/rId61.png" ContentType="image/png"/>
  <Override PartName="/word/media/rId52.png" ContentType="image/png"/>
  <Override PartName="/word/media/rId64.png" ContentType="image/png"/>
  <Override PartName="/word/media/rId62.png" ContentType="image/png"/>
  <Override PartName="/word/media/rId49.png" ContentType="image/png"/>
  <Override PartName="/word/media/rId46.png" ContentType="image/png"/>
  <Override PartName="/word/media/rId56.png" ContentType="image/png"/>
  <Override PartName="/word/media/rId55.png" ContentType="image/png"/>
  <Override PartName="/word/media/rId58.png" ContentType="image/png"/>
  <Override PartName="/word/media/rId47.png" ContentType="image/png"/>
  <Override PartName="/word/media/rId48.png" ContentType="image/png"/>
  <Override PartName="/word/media/rId51.png" ContentType="image/pn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05</w:t>
      </w:r>
      <w:r>
        <w:t xml:space="preserve"> </w:t>
      </w:r>
      <w:r>
        <w:t xml:space="preserve">June,</w:t>
      </w:r>
      <w:r>
        <w:t xml:space="preserve"> </w:t>
      </w:r>
      <w:r>
        <w:t xml:space="preserve">2019</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the</w:t>
      </w:r>
      <w:r>
        <w:t xml:space="preserve"> </w:t>
      </w:r>
      <w:r>
        <w:t xml:space="preserve">Fortetsa</w:t>
      </w:r>
      <w:r>
        <w:t xml:space="preserve"> </w:t>
      </w:r>
      <w:r>
        <w:t xml:space="preserve">and</w:t>
      </w:r>
      <w:r>
        <w:t xml:space="preserve"> </w:t>
      </w:r>
      <w:r>
        <w:t xml:space="preserve">Knossos</w:t>
      </w:r>
      <w:r>
        <w:t xml:space="preserve"> </w:t>
      </w:r>
      <w:r>
        <w:t xml:space="preserve">North</w:t>
      </w:r>
      <w:r>
        <w:t xml:space="preserve"> </w:t>
      </w:r>
      <w:r>
        <w:t xml:space="preserve">cemeteries,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w:t>
      </w:r>
      <w:r>
        <w:t xml:space="preserve"> </w:t>
      </w:r>
      <w:r>
        <w:t xml:space="preserve">classes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the</w:t>
      </w:r>
      <w:r>
        <w:t xml:space="preserve"> </w:t>
      </w:r>
      <w:r>
        <w:t xml:space="preserve">application</w:t>
      </w:r>
      <w:r>
        <w:t xml:space="preserve"> </w:t>
      </w:r>
      <w:r>
        <w:t xml:space="preserve">of</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goes</w:t>
      </w:r>
      <w:r>
        <w:t xml:space="preserve"> </w:t>
      </w:r>
      <w:r>
        <w:t xml:space="preserve">on</w:t>
      </w:r>
      <w:r>
        <w:t xml:space="preserve"> </w:t>
      </w:r>
      <w:r>
        <w:t xml:space="preserve">to</w:t>
      </w:r>
      <w:r>
        <w:t xml:space="preserve"> </w:t>
      </w:r>
      <w:r>
        <w:t xml:space="preserve">consider</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Early Iron Age Knossos</w:t>
      </w:r>
    </w:p>
    <w:p>
      <w:pPr>
        <w:pStyle w:val="Heading2"/>
      </w:pPr>
      <w:bookmarkStart w:id="26" w:name="settlement-evidence-a-meagre-filling-in-a-very-thick-sandwich"/>
      <w:bookmarkEnd w:id="26"/>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(1984a; 2000)</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The Early Iron Age Cemeteries</w:t>
      </w:r>
    </w:p>
    <w:p>
      <w:pPr>
        <w:pStyle w:val="FigureWithCaption"/>
      </w:pPr>
      <w:r>
        <w:drawing>
          <wp:inline>
            <wp:extent cx="5943600" cy="8407522"/>
            <wp:effectExtent b="0" l="0" r="0" t="0"/>
            <wp:docPr descr="Figure 1 goes around here" title="" id="1" name="Picture"/>
            <a:graphic>
              <a:graphicData uri="http://schemas.openxmlformats.org/drawingml/2006/picture">
                <pic:pic>
                  <pic:nvPicPr>
                    <pic:cNvPr descr="../figures/Knossos%20Tombs%20Map.jpg" id="0" name="Picture"/>
                    <pic:cNvPicPr>
                      <a:picLocks noChangeArrowheads="1" noChangeAspect="1"/>
                    </pic:cNvPicPr>
                  </pic:nvPicPr>
                  <pic:blipFill>
                    <a:blip r:embed="rId28"/>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1998: 58; Coldstream 2006: 582)</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(J.N.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J.N.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Methods</w:t>
      </w:r>
    </w:p>
    <w:p>
      <w:pPr>
        <w:pStyle w:val="Heading2"/>
      </w:pPr>
      <w:bookmarkStart w:id="34" w:name="databases"/>
      <w:bookmarkEnd w:id="34"/>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(2017b: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2017b; Marwick 2017a)</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2</w:t>
      </w:r>
      <w:r>
        <w:t xml:space="preserve">). Here, the mean of these three estimates was taken, to provide a single aggregate measure for the purposes of analysis.</w:t>
      </w:r>
    </w:p>
    <w:p>
      <w:pPr>
        <w:pStyle w:val="FigureWithCaption"/>
      </w:pPr>
      <w:r>
        <w:drawing>
          <wp:inline>
            <wp:extent cx="5943600" cy="3396342"/>
            <wp:effectExtent b="0" l="0" r="0" t="0"/>
            <wp:docPr descr="Figure 2 goes around here"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9" w:name="aoristic-approaches-to-dating"/>
      <w:bookmarkEnd w:id="39"/>
      <w:r>
        <w:t xml:space="preserve">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3396342"/>
            <wp:effectExtent b="0" l="0" r="0" t="0"/>
            <wp:docPr descr="Figure 3 goes around here" title="" id="1" name="Picture"/>
            <a:graphic>
              <a:graphicData uri="http://schemas.openxmlformats.org/drawingml/2006/picture">
                <pic:pic>
                  <pic:nvPicPr>
                    <pic:cNvPr descr="../figures/allpithoi-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FigureWithCaption"/>
      </w:pPr>
      <w:r>
        <w:drawing>
          <wp:inline>
            <wp:extent cx="5943600" cy="3396342"/>
            <wp:effectExtent b="0" l="0" r="0" t="0"/>
            <wp:docPr descr="Figure 4 goes around here" title="" id="1" name="Picture"/>
            <a:graphic>
              <a:graphicData uri="http://schemas.openxmlformats.org/drawingml/2006/picture">
                <pic:pic>
                  <pic:nvPicPr>
                    <pic:cNvPr descr="../figures/aoristallcem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2" w:name="analysis"/>
      <w:bookmarkEnd w:id="42"/>
      <w:r>
        <w:t xml:space="preserve">Analysis</w:t>
      </w:r>
    </w:p>
    <w:p>
      <w:pPr>
        <w:pStyle w:val="Heading2"/>
      </w:pPr>
      <w:bookmarkStart w:id="43" w:name="introduction-1"/>
      <w:bookmarkEnd w:id="43"/>
      <w:r>
        <w:t xml:space="preserve">Introduction</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4" w:name="temporal-developments-in-the-knossian-cemeteries"/>
      <w:bookmarkEnd w:id="44"/>
      <w:r>
        <w:t xml:space="preserve">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971800"/>
            <wp:effectExtent b="0" l="0" r="0" t="0"/>
            <wp:docPr descr="Figure 5 goesaround here." title="" id="1" name="Picture"/>
            <a:graphic>
              <a:graphicData uri="http://schemas.openxmlformats.org/drawingml/2006/picture">
                <pic:pic>
                  <pic:nvPicPr>
                    <pic:cNvPr descr="../figures/aoristbycem-1.png" id="0" name="Picture"/>
                    <pic:cNvPicPr>
                      <a:picLocks noChangeArrowheads="1" noChangeAspect="1"/>
                    </pic:cNvPicPr>
                  </pic:nvPicPr>
                  <pic:blipFill>
                    <a:blip r:embed="rId4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goesaround here.</w:t>
      </w:r>
    </w:p>
    <w:p>
      <w:pPr>
        <w:pStyle w:val="BodyText"/>
      </w:pPr>
      <w:r>
        <w:t xml:space="preserve">And, despite differences in scale and timing, it is immediately apparent from Figure</w:t>
      </w:r>
      <w:r>
        <w:t xml:space="preserve"> </w:t>
      </w:r>
      <w:r>
        <w:t xml:space="preserve">5</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6 goes around here"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Figure</w:t>
      </w:r>
      <w:r>
        <w:t xml:space="preserve"> </w:t>
      </w:r>
      <w:r>
        <w:t xml:space="preserve">6</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These countervalent trends are observable too in the number of tombs receiving depositions in each period (Figure</w:t>
      </w:r>
      <w:r>
        <w:t xml:space="preserve"> </w:t>
      </w:r>
      <w:r>
        <w:t xml:space="preserve">7</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8 goes around here"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But the net increase in active tombs in the 8th century belies a more complex pattern (Figure</w:t>
      </w:r>
      <w:r>
        <w:t xml:space="preserve"> </w:t>
      </w:r>
      <w:r>
        <w:t xml:space="preserve">8</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5943600" cy="3396342"/>
            <wp:effectExtent b="0" l="0" r="0" t="0"/>
            <wp:docPr descr="Figure 9 goes around here"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However, we see from Figure</w:t>
      </w:r>
      <w:r>
        <w:t xml:space="preserve"> </w:t>
      </w:r>
      <w:r>
        <w:t xml:space="preserve">9</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8</w:t>
      </w:r>
      <w:r>
        <w:t xml:space="preserve">, they were, at this time, declining in number.</w:t>
      </w:r>
    </w:p>
    <w:p>
      <w:pPr>
        <w:pStyle w:val="BodyText"/>
      </w:pPr>
      <w:r>
        <w:rPr>
          <w:i/>
        </w:rPr>
        <w:t xml:space="preserve">Table 1 goes around here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50" w:name="isolating-the-phenomenon"/>
      <w:bookmarkEnd w:id="50"/>
      <w:r>
        <w:t xml:space="preserve">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10 goes around here" title="" id="1" name="Picture"/>
            <a:graphic>
              <a:graphicData uri="http://schemas.openxmlformats.org/drawingml/2006/picture">
                <pic:pic>
                  <pic:nvPicPr>
                    <pic:cNvPr descr="../figures/toptombs-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4245428"/>
            <wp:effectExtent b="0" l="0" r="0" t="0"/>
            <wp:docPr descr="Figure 11 goes around here" title="" id="1" name="Picture"/>
            <a:graphic>
              <a:graphicData uri="http://schemas.openxmlformats.org/drawingml/2006/picture">
                <pic:pic>
                  <pic:nvPicPr>
                    <pic:cNvPr descr="../figures/groupsab-1.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11</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3" w:name="not-all-tombs-are-created-equal"/>
      <w:bookmarkEnd w:id="53"/>
      <w:r>
        <w:t xml:space="preserve">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4575813" cy="3660650"/>
            <wp:effectExtent b="0" l="0" r="0" t="0"/>
            <wp:docPr descr="Figure 12 goes around here"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4"/>
                    <a:stretch>
                      <a:fillRect/>
                    </a:stretch>
                  </pic:blipFill>
                  <pic:spPr bwMode="auto">
                    <a:xfrm>
                      <a:off x="0" y="0"/>
                      <a:ext cx="4575813" cy="3660650"/>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In Figure</w:t>
      </w:r>
      <w:r>
        <w:t xml:space="preserve"> </w:t>
      </w:r>
      <w:r>
        <w:t xml:space="preserve">12</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5943600" cy="3396342"/>
            <wp:effectExtent b="0" l="0" r="0" t="0"/>
            <wp:docPr descr="Figure 13 goes around here" title="" id="1" name="Picture"/>
            <a:graphic>
              <a:graphicData uri="http://schemas.openxmlformats.org/drawingml/2006/picture">
                <pic:pic>
                  <pic:nvPicPr>
                    <pic:cNvPr descr="../figures/tombgroupdimensions-1.pn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4 goes around here"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6"/>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What we can say is that no clear relationship existed between the dimensions of a tomb and its eventual buried population (see Figure</w:t>
      </w:r>
      <w:r>
        <w:t xml:space="preserve"> </w:t>
      </w:r>
      <w:r>
        <w:t xml:space="preserve">14</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7" w:name="imports-interments-and-indices-of-wealth"/>
      <w:bookmarkEnd w:id="57"/>
      <w:r>
        <w:t xml:space="preserve">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5 goes around here"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goes around here</w:t>
      </w:r>
    </w:p>
    <w:p>
      <w:pPr>
        <w:pStyle w:val="BodyText"/>
      </w:pPr>
      <w:r>
        <w:t xml:space="preserve">And in Figure</w:t>
      </w:r>
      <w:r>
        <w:t xml:space="preserve"> </w:t>
      </w:r>
      <w:r>
        <w:t xml:space="preserve">15</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8</w:t>
      </w:r>
      <w:r>
        <w:t xml:space="preserve">. What might account for this disparity? And if the patterns implied in Figure</w:t>
      </w:r>
      <w:r>
        <w:t xml:space="preserve"> </w:t>
      </w:r>
      <w:r>
        <w:t xml:space="preserve">15</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9" w:name="a-tale-of-two-periods"/>
      <w:bookmarkEnd w:id="59"/>
      <w:r>
        <w:t xml:space="preserve">A Tale of Two Periods</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bigbox-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Figure</w:t>
      </w:r>
      <w:r>
        <w:t xml:space="preserve"> </w:t>
      </w:r>
      <w:r>
        <w:t xml:space="preserve">16</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gini-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This characterisation is supported further by considering the Gini coefficient for the distribution of pottery between the tombs (see Figure</w:t>
      </w:r>
      <w:r>
        <w:t xml:space="preserve"> </w:t>
      </w:r>
      <w:r>
        <w:t xml:space="preserve">17</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imports-1.pn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The rise in imported items is readily observable, with a succession of Greek and Near Eastern imports in the late 9th and early 8th centuries (Figure</w:t>
      </w:r>
      <w:r>
        <w:t xml:space="preserve"> </w:t>
      </w:r>
      <w:r>
        <w:t xml:space="preserve">18</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9 goes around here" title="" id="1" name="Picture"/>
            <a:graphic>
              <a:graphicData uri="http://schemas.openxmlformats.org/drawingml/2006/picture">
                <pic:pic>
                  <pic:nvPicPr>
                    <pic:cNvPr descr="../figures/comps-1.png" id="0"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This is reflected further in the changing composition of the mortuary assemblage through time (Figure</w:t>
      </w:r>
      <w:r>
        <w:t xml:space="preserve"> </w:t>
      </w:r>
      <w:r>
        <w:t xml:space="preserve">19</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490975" cy="3660650"/>
            <wp:effectExtent b="0" l="0" r="0" t="0"/>
            <wp:docPr descr="Figure 20 goes around here" title="" id="1" name="Picture"/>
            <a:graphic>
              <a:graphicData uri="http://schemas.openxmlformats.org/drawingml/2006/picture">
                <pic:pic>
                  <pic:nvPicPr>
                    <pic:cNvPr descr="../figures/hists-1.png" id="0" name="Picture"/>
                    <pic:cNvPicPr>
                      <a:picLocks noChangeArrowheads="1" noChangeAspect="1"/>
                    </pic:cNvPicPr>
                  </pic:nvPicPr>
                  <pic:blipFill>
                    <a:blip r:embed="rId64"/>
                    <a:stretch>
                      <a:fillRect/>
                    </a:stretch>
                  </pic:blipFill>
                  <pic:spPr bwMode="auto">
                    <a:xfrm>
                      <a:off x="0" y="0"/>
                      <a:ext cx="5490975" cy="3660650"/>
                    </a:xfrm>
                    <a:prstGeom prst="rect">
                      <a:avLst/>
                    </a:prstGeom>
                    <a:noFill/>
                    <a:ln w="9525">
                      <a:noFill/>
                      <a:headEnd/>
                      <a:tailEnd/>
                    </a:ln>
                  </pic:spPr>
                </pic:pic>
              </a:graphicData>
            </a:graphic>
          </wp:inline>
        </w:drawing>
      </w:r>
    </w:p>
    <w:p>
      <w:pPr>
        <w:pStyle w:val="ImageCaption"/>
      </w:pPr>
      <w:r>
        <w:t xml:space="preserve">Figure 20 goes around here</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20</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5" w:name="discussion"/>
      <w:bookmarkEnd w:id="65"/>
      <w:r>
        <w:t xml:space="preserve">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Mook, Fitzsimons, C Margaret Scarry, et al. 2011; Haggis, Mook, Fitzsimons, Margaret C Scarry, et al. 2011; Haggis 2014)</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6" w:name="conclusion"/>
      <w:bookmarkEnd w:id="66"/>
      <w:r>
        <w:t xml:space="preserve">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7" w:name="pagebreak-1"/>
      <w:bookmarkEnd w:id="67"/>
      <w:r>
        <w:t xml:space="preserve">pagebreak</w:t>
      </w:r>
    </w:p>
    <w:p>
      <w:pPr>
        <w:pStyle w:val="Heading1"/>
      </w:pPr>
      <w:bookmarkStart w:id="68" w:name="acknowledgements"/>
      <w:bookmarkEnd w:id="68"/>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I am indebted most of all to Professor Todd Whitelaw, for his unstinting guidance, feedback and facilitation of my ongoing research.</w:t>
      </w:r>
    </w:p>
    <w:p>
      <w:pPr>
        <w:pStyle w:val="Heading1"/>
      </w:pPr>
      <w:bookmarkStart w:id="69" w:name="about-the-author"/>
      <w:bookmarkEnd w:id="69"/>
      <w:r>
        <w:t xml:space="preserve">About the Author</w:t>
      </w:r>
    </w:p>
    <w:p>
      <w:pPr>
        <w:pStyle w:val="FirstParagraph"/>
      </w:pPr>
      <w:r>
        <w:t xml:space="preserve">Dominic Pollard is a PhD candidate at University College London. His research focusses on the Early Iron Age of Crete, with particular interest in the use of computational methods to supplement traditional modes of archaeological inference.</w:t>
      </w:r>
    </w:p>
    <w:p>
      <w:pPr>
        <w:pStyle w:val="Heading5"/>
      </w:pPr>
      <w:bookmarkStart w:id="70" w:name="pagebreak-2"/>
      <w:bookmarkEnd w:id="70"/>
      <w:r>
        <w:t xml:space="preserve">pagebreak</w:t>
      </w:r>
    </w:p>
    <w:p>
      <w:pPr>
        <w:pStyle w:val="Heading1"/>
      </w:pPr>
      <w:bookmarkStart w:id="71" w:name="references"/>
      <w:bookmarkEnd w:id="71"/>
      <w:r>
        <w:t xml:space="preserve">References</w:t>
      </w:r>
    </w:p>
    <w:p>
      <w:pPr>
        <w:pStyle w:val="FirstParagraph"/>
      </w:pPr>
      <w:r>
        <w:t xml:space="preserve">Antoniadis, Vyron</w:t>
      </w:r>
      <w:r>
        <w:br w:type="textWrapping"/>
      </w:r>
      <w:r>
        <w:t xml:space="preserve">2012 Early Iron Age Cementeries at Knossos: The Appreciation of Oriental Imports and their Imitations by Knossian Society. PhD thesis, Universitat Pompeu Fabra.</w:t>
      </w:r>
      <w:r>
        <w:t xml:space="preserve"> </w:t>
      </w:r>
      <w:hyperlink r:id="rId72">
        <w:r>
          <w:rPr>
            <w:rStyle w:val="Hyperlink"/>
          </w:rPr>
          <w:t xml:space="preserve">http://www.tdx.cat/handle/10803/85060</w:t>
        </w:r>
      </w:hyperlink>
      <w:r>
        <w:t xml:space="preserve">.</w:t>
      </w:r>
    </w:p>
    <w:p>
      <w:pPr>
        <w:pStyle w:val="BodyText"/>
      </w:pPr>
      <w:r>
        <w:t xml:space="preserve">Appadurai, Arjun</w:t>
      </w:r>
      <w:r>
        <w:br w:type="textWrapping"/>
      </w:r>
      <w:r>
        <w:t xml:space="preserve">1986</w:t>
      </w:r>
      <w:r>
        <w:t xml:space="preserve"> </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 Models of settlement hierarchy based on partial evidence.</w:t>
      </w:r>
      <w:r>
        <w:t xml:space="preserve"> </w:t>
      </w:r>
      <w:r>
        <w:rPr>
          <w:i/>
        </w:rPr>
        <w:t xml:space="preserve">Journal of Archaeological Science</w:t>
      </w:r>
      <w:r>
        <w:t xml:space="preserve"> </w:t>
      </w:r>
      <w:r>
        <w:t xml:space="preserve">40(5). May:2415–2427.</w:t>
      </w:r>
    </w:p>
    <w:p>
      <w:pPr>
        <w:pStyle w:val="BodyText"/>
      </w:pPr>
      <w:r>
        <w:t xml:space="preserve">Blackman, David</w:t>
      </w:r>
      <w:r>
        <w:br w:type="textWrapping"/>
      </w:r>
      <w:r>
        <w:t xml:space="preserve">1999 Archaeology in Greece, 1998-99.</w:t>
      </w:r>
      <w:r>
        <w:t xml:space="preserve"> </w:t>
      </w:r>
      <w:r>
        <w:rPr>
          <w:i/>
        </w:rPr>
        <w:t xml:space="preserve">Archaeological Reports</w:t>
      </w:r>
      <w:r>
        <w:t xml:space="preserve"> </w:t>
      </w:r>
      <w:r>
        <w:t xml:space="preserve">45:1–124.</w:t>
      </w:r>
    </w:p>
    <w:p>
      <w:pPr>
        <w:pStyle w:val="BodyText"/>
      </w:pPr>
      <w:r>
        <w:t xml:space="preserve">Boardman, John</w:t>
      </w:r>
      <w:r>
        <w:br w:type="textWrapping"/>
      </w:r>
      <w:r>
        <w:t xml:space="preserve">1960 Protogeometric graves at Agios Ioannis near Knossos.</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 The Khaniale Tekke Tombs, II.</w:t>
      </w:r>
      <w:r>
        <w:t xml:space="preserve"> </w:t>
      </w:r>
      <w:r>
        <w:rPr>
          <w:i/>
        </w:rPr>
        <w:t xml:space="preserve">The Annual of the British School at Athens</w:t>
      </w:r>
      <w:r>
        <w:t xml:space="preserve"> </w:t>
      </w:r>
      <w:r>
        <w:t xml:space="preserve">62:57–75.</w:t>
      </w:r>
    </w:p>
    <w:p>
      <w:pPr>
        <w:pStyle w:val="BodyText"/>
      </w:pPr>
      <w:r>
        <w:t xml:space="preserve">Brock, J.K.</w:t>
      </w:r>
      <w:r>
        <w:br w:type="textWrapping"/>
      </w:r>
      <w:r>
        <w:t xml:space="preserve">1957</w:t>
      </w:r>
      <w:r>
        <w:t xml:space="preserve"> </w:t>
      </w:r>
      <w:r>
        <w:rPr>
          <w:i/>
        </w:rPr>
        <w:t xml:space="preserve">Fortetsa: Early Greek Tombs Near Knossos</w:t>
      </w:r>
      <w:r>
        <w:t xml:space="preserve">. Cambridge University Press, Cambridge.</w:t>
      </w:r>
    </w:p>
    <w:p>
      <w:pPr>
        <w:pStyle w:val="BodyText"/>
      </w:pPr>
      <w:r>
        <w:t xml:space="preserve">Catling, H W</w:t>
      </w:r>
      <w:r>
        <w:br w:type="textWrapping"/>
      </w:r>
      <w:r>
        <w:t xml:space="preserve">1983 Archaeology in Greece, 1982–83.</w:t>
      </w:r>
      <w:r>
        <w:t xml:space="preserve"> </w:t>
      </w:r>
      <w:r>
        <w:rPr>
          <w:i/>
        </w:rPr>
        <w:t xml:space="preserve">Archaeological Reports</w:t>
      </w:r>
      <w:r>
        <w:t xml:space="preserve"> </w:t>
      </w:r>
      <w:r>
        <w:t xml:space="preserve">29:3–62.</w:t>
      </w:r>
    </w:p>
    <w:p>
      <w:pPr>
        <w:pStyle w:val="BodyText"/>
      </w:pPr>
      <w:r>
        <w:t xml:space="preserve">Catling, H W</w:t>
      </w:r>
      <w:r>
        <w:br w:type="textWrapping"/>
      </w:r>
      <w:r>
        <w:t xml:space="preserve">1995 Heroes Returned? Subminoan Burials from Crete. In</w:t>
      </w:r>
      <w:r>
        <w:t xml:space="preserve"> </w:t>
      </w:r>
      <w:r>
        <w:rPr>
          <w:i/>
        </w:rPr>
        <w:t xml:space="preserve">The Ages of Homer: A Tribute to Emily Townsend Vermeule</w:t>
      </w:r>
      <w:r>
        <w:t xml:space="preserve">, Jane B Carter and Sarah P Morris, editors, pp. 123–136. University of Texas Press, Austin.</w:t>
      </w:r>
    </w:p>
    <w:p>
      <w:pPr>
        <w:pStyle w:val="BodyText"/>
      </w:pPr>
      <w:r>
        <w:t xml:space="preserve">Cavanagh, W.G.</w:t>
      </w:r>
      <w:r>
        <w:br w:type="textWrapping"/>
      </w:r>
      <w:r>
        <w:t xml:space="preserve">1996 The Burial Customs. In</w:t>
      </w:r>
      <w:r>
        <w:t xml:space="preserve"> </w:t>
      </w:r>
      <w:r>
        <w:rPr>
          <w:i/>
        </w:rPr>
        <w:t xml:space="preserve">Knossos North Cemetery: Early Greek Tombs</w:t>
      </w:r>
      <w:r>
        <w:t xml:space="preserve">, J.N. Coldstream and H W Catling, editors, pp. 651–675. The British School at Athens Supplement 28. Vol.II, London.</w:t>
      </w:r>
    </w:p>
    <w:p>
      <w:pPr>
        <w:pStyle w:val="BodyText"/>
      </w:pPr>
      <w:r>
        <w:t xml:space="preserve">Coldstream, J N</w:t>
      </w:r>
      <w:r>
        <w:br w:type="textWrapping"/>
      </w:r>
      <w:r>
        <w:t xml:space="preserve">1977</w:t>
      </w:r>
      <w:r>
        <w:t xml:space="preserve"> </w:t>
      </w:r>
      <w:r>
        <w:rPr>
          <w:i/>
        </w:rPr>
        <w:t xml:space="preserve">Geometric Greece</w:t>
      </w:r>
      <w:r>
        <w:t xml:space="preserve">. 1st edition. Ernest Benn, London.</w:t>
      </w:r>
    </w:p>
    <w:p>
      <w:pPr>
        <w:pStyle w:val="BodyText"/>
      </w:pPr>
      <w:r>
        <w:t xml:space="preserve">Coldstream, J N</w:t>
      </w:r>
      <w:r>
        <w:br w:type="textWrapping"/>
      </w:r>
      <w:r>
        <w:t xml:space="preserve">1994 Urns with Lids: The Visible Face of the Knossian ’Dark Age’. In</w:t>
      </w:r>
      <w:r>
        <w:t xml:space="preserve"> </w:t>
      </w:r>
      <w:r>
        <w:rPr>
          <w:i/>
        </w:rPr>
        <w:t xml:space="preserve">Knossos: A Labyrinth of History. Papers Presented in Honour of Sinclair Hood</w:t>
      </w:r>
      <w:r>
        <w:t xml:space="preserve">, Don Evely, Helen Hughes-Brock, and Nicoletta Momigliano, editors, pp. 105–122. The British School at Athens, Oxford.</w:t>
      </w:r>
    </w:p>
    <w:p>
      <w:pPr>
        <w:pStyle w:val="BodyText"/>
      </w:pPr>
      <w:r>
        <w:t xml:space="preserve">Coldstream, J N</w:t>
      </w:r>
      <w:r>
        <w:br w:type="textWrapping"/>
      </w:r>
      <w:r>
        <w:t xml:space="preserve">1998 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t xml:space="preserve"> </w:t>
      </w:r>
      <w:r>
        <w:rPr>
          <w:i/>
        </w:rPr>
        <w:t xml:space="preserve">Knossos North Cemetery: Early Greek Tombs</w:t>
      </w:r>
      <w:r>
        <w:t xml:space="preserve">., editorsJ N Coldstream and H W Catling. The British School at Athens Supplement 28. Vol.I-IV, London.</w:t>
      </w:r>
    </w:p>
    <w:p>
      <w:pPr>
        <w:pStyle w:val="BodyText"/>
      </w:pPr>
      <w:r>
        <w:t xml:space="preserve">Coldstream, J. N.</w:t>
      </w:r>
      <w:r>
        <w:br w:type="textWrapping"/>
      </w:r>
      <w:r>
        <w:t xml:space="preserve">1963 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 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 Dorian Knossos and Aristotle’s Villages. In</w:t>
      </w:r>
      <w:r>
        <w:t xml:space="preserve"> </w:t>
      </w:r>
      <w:r>
        <w:rPr>
          <w:i/>
        </w:rPr>
        <w:t xml:space="preserve">Aux Origines de L’Hellénisme: La Crète et La Grèce. Hommage à Henri van Effenterre.</w:t>
      </w:r>
      <w:r>
        <w:t xml:space="preserve">, Centre Gustave Glotz, editor, pp. 311–322. Université de Paris-I, Paris.</w:t>
      </w:r>
    </w:p>
    <w:p>
      <w:pPr>
        <w:pStyle w:val="BodyText"/>
      </w:pPr>
      <w:r>
        <w:t xml:space="preserve">Coldstream, J.N.</w:t>
      </w:r>
      <w:r>
        <w:br w:type="textWrapping"/>
      </w:r>
      <w:r>
        <w:t xml:space="preserve">1984b 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1991 Knossos: An Urban Nucleus in the Dark Age. In</w:t>
      </w:r>
      <w:r>
        <w:t xml:space="preserve"> </w:t>
      </w:r>
      <w:r>
        <w:rPr>
          <w:i/>
        </w:rPr>
        <w:t xml:space="preserve">La Transizione Dal Miceneo All’Alto Arcaismo: Dal Palazzo Alla Città. Atti Del Convegno Internazionale, Roma, 14–19 Marzo 1988.</w:t>
      </w:r>
      <w:r>
        <w:t xml:space="preserve">, Domenico Musti, editor, pp. 287–299. Consiglio nazionale delle ricerche, Roma.</w:t>
      </w:r>
    </w:p>
    <w:p>
      <w:pPr>
        <w:pStyle w:val="BodyText"/>
      </w:pPr>
      <w:r>
        <w:t xml:space="preserve">Coldstream, J.N.</w:t>
      </w:r>
      <w:r>
        <w:br w:type="textWrapping"/>
      </w:r>
      <w:r>
        <w:t xml:space="preserve">2000 Evans’ Greek Finds: The Early Greek Town of Knossos, and its Encroachment on the Borders of the Minoan Palace.</w:t>
      </w:r>
      <w:r>
        <w:t xml:space="preserve"> </w:t>
      </w:r>
      <w:r>
        <w:rPr>
          <w:i/>
        </w:rPr>
        <w:t xml:space="preserve">The Annual of the British School at Athens</w:t>
      </w:r>
      <w:r>
        <w:t xml:space="preserve"> </w:t>
      </w:r>
      <w:r>
        <w:t xml:space="preserve">95:260–299.</w:t>
      </w:r>
    </w:p>
    <w:p>
      <w:pPr>
        <w:pStyle w:val="BodyText"/>
      </w:pPr>
      <w:r>
        <w:t xml:space="preserve">Coldstream, J.N.</w:t>
      </w:r>
      <w:r>
        <w:br w:type="textWrapping"/>
      </w:r>
      <w:r>
        <w:t xml:space="preserve">2006 Knossos in Early Greek Times. In</w:t>
      </w:r>
      <w:r>
        <w:t xml:space="preserve"> </w:t>
      </w:r>
      <w:r>
        <w:rPr>
          <w:i/>
        </w:rPr>
        <w:t xml:space="preserve">Ancient Greece: From the Mycenaean Palaces to the Age of Homer</w:t>
      </w:r>
      <w:r>
        <w:t xml:space="preserve">, Sigrid Deger-Jalkotzy and Irene S Lemos, editors, pp. 581–596. Edinburgh University Press, Edinburgh.</w:t>
      </w:r>
    </w:p>
    <w:p>
      <w:pPr>
        <w:pStyle w:val="BodyText"/>
      </w:pPr>
      <w:r>
        <w:t xml:space="preserve">Coldstream, J.N., and G Huxley</w:t>
      </w:r>
      <w:r>
        <w:br w:type="textWrapping"/>
      </w:r>
      <w:r>
        <w:t xml:space="preserve">1996 Fortetsa 1967 Tombs. In</w:t>
      </w:r>
      <w:r>
        <w:t xml:space="preserve"> </w:t>
      </w:r>
      <w:r>
        <w:rPr>
          <w:i/>
        </w:rPr>
        <w:t xml:space="preserve">Knossos North Cemetery: Early Greek Tombs</w:t>
      </w:r>
      <w:r>
        <w:t xml:space="preserve">, J.N. Coldstream and H W Catling, editors, p. 284. The British School at Athens Supplement 28. Vol.I, London.</w:t>
      </w:r>
    </w:p>
    <w:p>
      <w:pPr>
        <w:pStyle w:val="BodyText"/>
      </w:pPr>
      <w:r>
        <w:t xml:space="preserve">Crema, Enrico R</w:t>
      </w:r>
      <w:r>
        <w:br w:type="textWrapping"/>
      </w:r>
      <w:r>
        <w:t xml:space="preserve">2012 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 A probabilistic framework for assessing spatio-temporal point patterns in the archaeological record.</w:t>
      </w:r>
      <w:r>
        <w:t xml:space="preserve"> </w:t>
      </w:r>
      <w:r>
        <w:rPr>
          <w:i/>
        </w:rPr>
        <w:t xml:space="preserve">Journal of Archaeological Science</w:t>
      </w:r>
      <w:r>
        <w:t xml:space="preserve"> </w:t>
      </w:r>
      <w:r>
        <w:t xml:space="preserve">37(5). May:1118–1130.</w:t>
      </w:r>
    </w:p>
    <w:p>
      <w:pPr>
        <w:pStyle w:val="BodyText"/>
      </w:pPr>
      <w:r>
        <w:t xml:space="preserve">Crowe, Alice</w:t>
      </w:r>
      <w:r>
        <w:br w:type="textWrapping"/>
      </w:r>
      <w:r>
        <w:t xml:space="preserve">2016 The Minoan Past in the Past: Bronze Age Objects in Early Iron Age Burials at Knossos, Crete. PhD thesis.</w:t>
      </w:r>
    </w:p>
    <w:p>
      <w:pPr>
        <w:pStyle w:val="BodyText"/>
      </w:pPr>
      <w:r>
        <w:t xml:space="preserve">Davaras, C</w:t>
      </w:r>
      <w:r>
        <w:br w:type="textWrapping"/>
      </w:r>
      <w:r>
        <w:t xml:space="preserve">1968 Two Geometric Tombs at Atsalenio near Knossos.</w:t>
      </w:r>
      <w:r>
        <w:t xml:space="preserve"> </w:t>
      </w:r>
      <w:r>
        <w:rPr>
          <w:i/>
        </w:rPr>
        <w:t xml:space="preserve">The Annual of the British School at Athens</w:t>
      </w:r>
      <w:r>
        <w:t xml:space="preserve"> </w:t>
      </w:r>
      <w:r>
        <w:t xml:space="preserve">63:133–146.</w:t>
      </w:r>
    </w:p>
    <w:p>
      <w:pPr>
        <w:pStyle w:val="BodyText"/>
      </w:pPr>
      <w:r>
        <w:t xml:space="preserve">Desborough, Vincent Robin d’Arba</w:t>
      </w:r>
      <w:r>
        <w:br w:type="textWrapping"/>
      </w:r>
      <w:r>
        <w:t xml:space="preserve">1972</w:t>
      </w:r>
      <w:r>
        <w:t xml:space="preserve"> </w:t>
      </w:r>
      <w:r>
        <w:rPr>
          <w:i/>
        </w:rPr>
        <w:t xml:space="preserve">The Greek Dark Ages</w:t>
      </w:r>
      <w:r>
        <w:t xml:space="preserve">. Benn, London.</w:t>
      </w:r>
    </w:p>
    <w:p>
      <w:pPr>
        <w:pStyle w:val="BodyText"/>
      </w:pPr>
      <w:r>
        <w:t xml:space="preserve">Erickson, Brice L</w:t>
      </w:r>
      <w:r>
        <w:br w:type="textWrapping"/>
      </w:r>
      <w:r>
        <w:t xml:space="preserve">2010</w:t>
      </w:r>
      <w:r>
        <w:t xml:space="preserve"> </w:t>
      </w:r>
      <w:r>
        <w:rPr>
          <w:i/>
        </w:rPr>
        <w:t xml:space="preserve">Crete in transition: pottery styles and island history in the archaic and classical periods / Brice L. Erickson.</w:t>
      </w:r>
      <w:r>
        <w:t xml:space="preserve"> </w:t>
      </w:r>
      <w:r>
        <w:t xml:space="preserve">Hesperia (princeton, n.J.). supplement ; 45. American School of Classical Studies at Athens, Princeton, NJ.</w:t>
      </w:r>
    </w:p>
    <w:p>
      <w:pPr>
        <w:pStyle w:val="BodyText"/>
      </w:pPr>
      <w:r>
        <w:t xml:space="preserve">Evans, Arthur</w:t>
      </w:r>
      <w:r>
        <w:br w:type="textWrapping"/>
      </w:r>
      <w:r>
        <w:t xml:space="preserve">1921</w:t>
      </w:r>
      <w:r>
        <w:t xml:space="preserve"> </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t xml:space="preserve"> </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t xml:space="preserve"> </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Evely, D</w:t>
      </w:r>
      <w:r>
        <w:br w:type="textWrapping"/>
      </w:r>
      <w:r>
        <w:t xml:space="preserve">2012 Knossos Teke (property of G. and N. Frangiadakis).</w:t>
      </w:r>
      <w:r>
        <w:t xml:space="preserve"> </w:t>
      </w:r>
      <w:r>
        <w:rPr>
          <w:i/>
        </w:rPr>
        <w:t xml:space="preserve">Chronique Des Fouilles En Ligne. École Française d’Athènes.</w:t>
      </w:r>
      <w:r>
        <w:t xml:space="preserve"> </w:t>
      </w:r>
      <w:hyperlink r:id="rId73">
        <w:r>
          <w:rPr>
            <w:rStyle w:val="Hyperlink"/>
          </w:rPr>
          <w:t xml:space="preserve">http://www.chronique.efa.gr/index.php/fiches/voir/2804/</w:t>
        </w:r>
      </w:hyperlink>
      <w:r>
        <w:t xml:space="preserve">.</w:t>
      </w:r>
    </w:p>
    <w:p>
      <w:pPr>
        <w:pStyle w:val="BodyText"/>
      </w:pPr>
      <w:r>
        <w:t xml:space="preserve">French, E.B.</w:t>
      </w:r>
      <w:r>
        <w:br w:type="textWrapping"/>
      </w:r>
      <w:r>
        <w:t xml:space="preserve">1991 Archaeology in Greece, 1990-91.</w:t>
      </w:r>
      <w:r>
        <w:t xml:space="preserve"> </w:t>
      </w:r>
      <w:r>
        <w:rPr>
          <w:i/>
        </w:rPr>
        <w:t xml:space="preserve">Archaeological Reports</w:t>
      </w:r>
      <w:r>
        <w:t xml:space="preserve"> </w:t>
      </w:r>
      <w:r>
        <w:t xml:space="preserve">37:3–78.</w:t>
      </w:r>
    </w:p>
    <w:p>
      <w:pPr>
        <w:pStyle w:val="BodyText"/>
      </w:pPr>
      <w:r>
        <w:t xml:space="preserve">Gagarin, Michael, and Paula Jean Perlman</w:t>
      </w:r>
      <w:r>
        <w:br w:type="textWrapping"/>
      </w:r>
      <w:r>
        <w:t xml:space="preserve">2016</w:t>
      </w:r>
      <w:r>
        <w:t xml:space="preserve"> </w:t>
      </w:r>
      <w:r>
        <w:rPr>
          <w:i/>
        </w:rPr>
        <w:t xml:space="preserve">The laws of Ancient Crete: c.650-400 BCE</w:t>
      </w:r>
      <w:r>
        <w:t xml:space="preserve">. Oxford University Press, Oxford.</w:t>
      </w:r>
    </w:p>
    <w:p>
      <w:pPr>
        <w:pStyle w:val="BodyText"/>
      </w:pPr>
      <w:r>
        <w:t xml:space="preserve">Haggis, Donald C</w:t>
      </w:r>
      <w:r>
        <w:br w:type="textWrapping"/>
      </w:r>
      <w:r>
        <w:t xml:space="preserve">2014 Azoria and Archaic Urbanization. In</w:t>
      </w:r>
      <w:r>
        <w:t xml:space="preserve"> </w:t>
      </w:r>
      <w:r>
        <w:rPr>
          <w:i/>
        </w:rPr>
        <w:t xml:space="preserve">Cretan Cities: Formation and Transformation</w:t>
      </w:r>
      <w:r>
        <w:t xml:space="preserve">, Florence Gaignerot-Driessen and Jan Driessen, editors, pp. 119–140. UCL, Presses Universitaires de Louvain, Louvain-La-Neuve, Belgium.</w:t>
      </w:r>
    </w:p>
    <w:p>
      <w:pPr>
        <w:pStyle w:val="BodyText"/>
      </w:pPr>
      <w:r>
        <w:t xml:space="preserve">Haggis, Donald C, Geraldine Cornelia Gesell, and Leslie Preston Day</w:t>
      </w:r>
      <w:r>
        <w:br w:type="textWrapping"/>
      </w:r>
      <w:r>
        <w:t xml:space="preserve">2005</w:t>
      </w:r>
      <w:r>
        <w:t xml:space="preserve"> </w:t>
      </w:r>
      <w:r>
        <w:rPr>
          <w:i/>
        </w:rPr>
        <w:t xml:space="preserve">Kavousi I: the archaeological survey of the Kavousi Region</w:t>
      </w:r>
      <w:r>
        <w:t xml:space="preserve">. INSTAP Academic Press, Philadelphia, Pennsylvania.</w:t>
      </w:r>
    </w:p>
    <w:p>
      <w:pPr>
        <w:pStyle w:val="BodyText"/>
      </w:pPr>
      <w:r>
        <w:t xml:space="preserve">Haggis, Donald C, Margaret S Mook, Rodney D Fitzsimons, C Margaret Scarry, Lynn M Snyder, and William C West</w:t>
      </w:r>
      <w:r>
        <w:br w:type="textWrapping"/>
      </w:r>
      <w:r>
        <w:t xml:space="preserve">2011 Excavations in the Archaic Civic Buildings at Azoria in 2005-2006.</w:t>
      </w:r>
      <w:r>
        <w:t xml:space="preserve"> </w:t>
      </w:r>
      <w:r>
        <w:rPr>
          <w:i/>
        </w:rPr>
        <w:t xml:space="preserve">The Journal of the American School of Classical Studies at Athens</w:t>
      </w:r>
      <w:r>
        <w:t xml:space="preserve"> </w:t>
      </w:r>
      <w:r>
        <w:t xml:space="preserve">80(1):1–70.</w:t>
      </w:r>
    </w:p>
    <w:p>
      <w:pPr>
        <w:pStyle w:val="BodyText"/>
      </w:pPr>
      <w:r>
        <w:t xml:space="preserve">Haggis, Donald C, Margaret S Mook, Rodney D Fitzsimons, Margaret C Scarry, and Lynn M Snyder</w:t>
      </w:r>
      <w:r>
        <w:br w:type="textWrapping"/>
      </w:r>
      <w:r>
        <w:t xml:space="preserve">2011 THE EXCAVATION OF ARCHAIC HOUSES AT AZORIA IN 2005-2006.</w:t>
      </w:r>
      <w:r>
        <w:t xml:space="preserve"> </w:t>
      </w:r>
      <w:r>
        <w:rPr>
          <w:i/>
        </w:rPr>
        <w:t xml:space="preserve">Hesperia: The Journal of the American School of Classical Studies at Athens</w:t>
      </w:r>
      <w:r>
        <w:t xml:space="preserve"> </w:t>
      </w:r>
      <w:r>
        <w:t xml:space="preserve">80(3):431–489.</w:t>
      </w:r>
    </w:p>
    <w:p>
      <w:pPr>
        <w:pStyle w:val="BodyText"/>
      </w:pPr>
      <w:r>
        <w:t xml:space="preserve">Hallager, Birgitta P</w:t>
      </w:r>
      <w:r>
        <w:br w:type="textWrapping"/>
      </w:r>
      <w:r>
        <w:t xml:space="preserve">2010 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Hayden, Barbara J</w:t>
      </w:r>
      <w:r>
        <w:br w:type="textWrapping"/>
      </w:r>
      <w:r>
        <w:t xml:space="preserve">2005</w:t>
      </w:r>
      <w:r>
        <w:t xml:space="preserve"> </w:t>
      </w:r>
      <w:r>
        <w:rPr>
          <w:i/>
        </w:rPr>
        <w:t xml:space="preserve">Reports on the Vrokastro area, eastern Crete. Vol. 3, The Vrokastro regional survey project: sites and pottery</w:t>
      </w:r>
      <w:r>
        <w:t xml:space="preserve">. University museum monograph ; 123. University of Pennsylvania Museum of Archaeology; Anthropology, Philadelphia.</w:t>
      </w:r>
    </w:p>
    <w:p>
      <w:pPr>
        <w:pStyle w:val="BodyText"/>
      </w:pPr>
      <w:r>
        <w:t xml:space="preserve">Hoffman, Gail L</w:t>
      </w:r>
      <w:r>
        <w:br w:type="textWrapping"/>
      </w:r>
      <w:r>
        <w:t xml:space="preserve">1997</w:t>
      </w:r>
      <w:r>
        <w:t xml:space="preserve"> </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 Knossos: Early Town and Cemeteries.</w:t>
      </w:r>
      <w:r>
        <w:t xml:space="preserve"> </w:t>
      </w:r>
      <w:r>
        <w:rPr>
          <w:i/>
        </w:rPr>
        <w:t xml:space="preserve">The Annual of the British School at Athens</w:t>
      </w:r>
      <w:r>
        <w:t xml:space="preserve"> </w:t>
      </w:r>
      <w:r>
        <w:t xml:space="preserve">6:70–85.</w:t>
      </w:r>
    </w:p>
    <w:p>
      <w:pPr>
        <w:pStyle w:val="BodyText"/>
      </w:pPr>
      <w:r>
        <w:t xml:space="preserve">Hood, Sinclair, and David Smyth</w:t>
      </w:r>
      <w:r>
        <w:br w:type="textWrapping"/>
      </w:r>
      <w:r>
        <w:t xml:space="preserve">1981</w:t>
      </w:r>
      <w:r>
        <w:t xml:space="preserve"> </w:t>
      </w:r>
      <w:r>
        <w:rPr>
          <w:i/>
        </w:rPr>
        <w:t xml:space="preserve">Archaeological Survey of the Knossos Area. The British School at Athens Supplementary Volumes, No. 14.</w:t>
      </w:r>
      <w:r>
        <w:t xml:space="preserve"> </w:t>
      </w:r>
      <w:r>
        <w:t xml:space="preserve">2nd edition. Thames; Hudson, London.</w:t>
      </w:r>
    </w:p>
    <w:p>
      <w:pPr>
        <w:pStyle w:val="BodyText"/>
      </w:pPr>
      <w:r>
        <w:t xml:space="preserve">Hutchinson, R.W., and John Boardman</w:t>
      </w:r>
      <w:r>
        <w:br w:type="textWrapping"/>
      </w:r>
      <w:r>
        <w:t xml:space="preserve">1954 The Khaniale Tekke Tombs.</w:t>
      </w:r>
      <w:r>
        <w:t xml:space="preserve"> </w:t>
      </w:r>
      <w:r>
        <w:rPr>
          <w:i/>
        </w:rPr>
        <w:t xml:space="preserve">The Annual of the British School at Athens</w:t>
      </w:r>
      <w:r>
        <w:t xml:space="preserve"> </w:t>
      </w:r>
      <w:r>
        <w:t xml:space="preserve">49:215–230.</w:t>
      </w:r>
    </w:p>
    <w:p>
      <w:pPr>
        <w:pStyle w:val="BodyText"/>
      </w:pPr>
      <w:r>
        <w:t xml:space="preserve">Huxley, G</w:t>
      </w:r>
      <w:r>
        <w:br w:type="textWrapping"/>
      </w:r>
      <w:r>
        <w:t xml:space="preserve">1994 On Knossos and her Neighbours (7th Century to Mid-4th Century B.C.). In</w:t>
      </w:r>
      <w:r>
        <w:t xml:space="preserve"> </w:t>
      </w:r>
      <w:r>
        <w:rPr>
          <w:i/>
        </w:rPr>
        <w:t xml:space="preserve">Knossos: A Labyrinth of History. Papers Presented in Honour of Sinclair Hood</w:t>
      </w:r>
      <w:r>
        <w:t xml:space="preserve">, Don Evely, Helen Hughes-Brock, and Nicoletta Momigliano, editors, pp. 123–134. The British School at Athens, Oxford.</w:t>
      </w:r>
    </w:p>
    <w:p>
      <w:pPr>
        <w:pStyle w:val="BodyText"/>
      </w:pPr>
      <w:r>
        <w:t xml:space="preserve">Johnson, Ian</w:t>
      </w:r>
      <w:r>
        <w:br w:type="textWrapping"/>
      </w:r>
      <w:r>
        <w:t xml:space="preserve">2004 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K Ausserer Fischer, W Börner, M Goriany, and L Karlhuber-Vöckl, editors, pp. 448–452. BAR International Series 1227, Oxford.</w:t>
      </w:r>
    </w:p>
    <w:p>
      <w:pPr>
        <w:pStyle w:val="BodyText"/>
      </w:pPr>
      <w:r>
        <w:t xml:space="preserve">Jones, Donald W</w:t>
      </w:r>
      <w:r>
        <w:br w:type="textWrapping"/>
      </w:r>
      <w:r>
        <w:t xml:space="preserve">2000</w:t>
      </w:r>
      <w:r>
        <w:t xml:space="preserve"> </w:t>
      </w:r>
      <w:r>
        <w:rPr>
          <w:i/>
        </w:rPr>
        <w:t xml:space="preserve">External Relations of Early Iron Age Crete, 1100-600 B.C.</w:t>
      </w:r>
      <w:r>
        <w:t xml:space="preserve"> </w:t>
      </w:r>
      <w:r>
        <w:t xml:space="preserve">Kendall/Hunt Publishing Company, Dubuque, Iowa.</w:t>
      </w:r>
    </w:p>
    <w:p>
      <w:pPr>
        <w:pStyle w:val="BodyText"/>
      </w:pPr>
      <w:r>
        <w:t xml:space="preserve">Knappett, Carl</w:t>
      </w:r>
      <w:r>
        <w:br w:type="textWrapping"/>
      </w:r>
      <w:r>
        <w:t xml:space="preserve">2011</w:t>
      </w:r>
      <w:r>
        <w:t xml:space="preserve"> </w:t>
      </w:r>
      <w:r>
        <w:rPr>
          <w:i/>
        </w:rPr>
        <w:t xml:space="preserve">An archaeology of interaction: network perspectives on material culture and society</w:t>
      </w:r>
      <w:r>
        <w:t xml:space="preserve">. Oxford University Press, Oxford.</w:t>
      </w:r>
    </w:p>
    <w:p>
      <w:pPr>
        <w:pStyle w:val="BodyText"/>
      </w:pPr>
      <w:r>
        <w:t xml:space="preserve">Knappett, Carl, Ray Rivers, and Tim Evans</w:t>
      </w:r>
      <w:r>
        <w:br w:type="textWrapping"/>
      </w:r>
      <w:r>
        <w:t xml:space="preserve">2011 The Theran eruption and Minoan palatial collapse: new interpretations gained from modelling the maritime network.</w:t>
      </w:r>
      <w:r>
        <w:t xml:space="preserve"> </w:t>
      </w:r>
      <w:r>
        <w:rPr>
          <w:i/>
        </w:rPr>
        <w:t xml:space="preserve">Antiquity</w:t>
      </w:r>
      <w:r>
        <w:t xml:space="preserve"> </w:t>
      </w:r>
      <w:r>
        <w:t xml:space="preserve">85(329). September.</w:t>
      </w:r>
    </w:p>
    <w:p>
      <w:pPr>
        <w:pStyle w:val="BodyText"/>
      </w:pPr>
      <w:r>
        <w:t xml:space="preserve">Kopytoff, I</w:t>
      </w:r>
      <w:r>
        <w:br w:type="textWrapping"/>
      </w:r>
      <w:r>
        <w:t xml:space="preserve">1986 The cultural biography of things: commoditization as process. In</w:t>
      </w:r>
      <w:r>
        <w:t xml:space="preserve"> </w:t>
      </w:r>
      <w:r>
        <w:rPr>
          <w:i/>
        </w:rPr>
        <w:t xml:space="preserve">The Social Life of Things: Commodities in Cultural …</w:t>
      </w:r>
      <w:r>
        <w:t xml:space="preserve">, Arjun Appadurai, editor, pp. 64–92. Cambridge University Press, Cambridge.</w:t>
      </w:r>
    </w:p>
    <w:p>
      <w:pPr>
        <w:pStyle w:val="BodyText"/>
      </w:pPr>
      <w:r>
        <w:t xml:space="preserve">Kotsonas, Antonis</w:t>
      </w:r>
      <w:r>
        <w:br w:type="textWrapping"/>
      </w:r>
      <w:r>
        <w:t xml:space="preserve">2002 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 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 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r>
        <w:t xml:space="preserve"> </w:t>
      </w:r>
      <w:hyperlink r:id="rId74">
        <w:r>
          <w:rPr>
            <w:rStyle w:val="Hyperlink"/>
          </w:rPr>
          <w:t xml:space="preserve">http://bmcr.brynmawr.edu/2011/2011-04-52.html</w:t>
        </w:r>
      </w:hyperlink>
      <w:r>
        <w:t xml:space="preserve">.</w:t>
      </w:r>
    </w:p>
    <w:p>
      <w:pPr>
        <w:pStyle w:val="BodyText"/>
      </w:pPr>
      <w:r>
        <w:t xml:space="preserve">Kotsonas, Antonis</w:t>
      </w:r>
      <w:r>
        <w:br w:type="textWrapping"/>
      </w:r>
      <w:r>
        <w:t xml:space="preserve">2011b Quantification of ceramics from Early Iron Age tombs. In</w:t>
      </w:r>
      <w:r>
        <w:t xml:space="preserve"> </w:t>
      </w:r>
      <w:r>
        <w:rPr>
          <w:i/>
        </w:rPr>
        <w:t xml:space="preserve">Early Iron Age Pottery: A Quantitative Approach: Proceedings of the International Round Table Organized by the Swiss School of Archaeology in Greece (Athens, November 28-30, 2008)</w:t>
      </w:r>
      <w:r>
        <w:t xml:space="preserve">, Samuel Verdan, Thierry Theurillat, and Anne Pfyffer Kenzelmann, editors, pp. 129–138. Archaeopress, Oxford.</w:t>
      </w:r>
    </w:p>
    <w:p>
      <w:pPr>
        <w:pStyle w:val="BodyText"/>
      </w:pPr>
      <w:r>
        <w:t xml:space="preserve">Kotsonas, Antonis</w:t>
      </w:r>
      <w:r>
        <w:br w:type="textWrapping"/>
      </w:r>
      <w:r>
        <w:t xml:space="preserve">2016 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2017a Using R and related tools for reproducible research in archaeology. In</w:t>
      </w:r>
      <w:r>
        <w:t xml:space="preserve"> </w:t>
      </w:r>
      <w:r>
        <w:rPr>
          <w:i/>
        </w:rPr>
        <w:t xml:space="preserve">The Practice of Reproducible Research: Case Studies and Lessons from the Data-Intensive Sciences</w:t>
      </w:r>
      <w:r>
        <w:t xml:space="preserve">, pp. 181–190.</w:t>
      </w:r>
    </w:p>
    <w:p>
      <w:pPr>
        <w:pStyle w:val="BodyText"/>
      </w:pPr>
      <w:r>
        <w:t xml:space="preserve">Marwick, Ben</w:t>
      </w:r>
      <w:r>
        <w:br w:type="textWrapping"/>
      </w:r>
      <w:r>
        <w:t xml:space="preserve">2017b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 Springer US, June:424–450.</w:t>
      </w:r>
      <w:r>
        <w:t xml:space="preserve"> </w:t>
      </w:r>
      <w:hyperlink r:id="rId75">
        <w:r>
          <w:rPr>
            <w:rStyle w:val="Hyperlink"/>
          </w:rPr>
          <w:t xml:space="preserve">http://link.springer.com/10.1007/s10816-015-9272-9</w:t>
        </w:r>
      </w:hyperlink>
      <w:r>
        <w:t xml:space="preserve">.</w:t>
      </w:r>
    </w:p>
    <w:p>
      <w:pPr>
        <w:pStyle w:val="BodyText"/>
      </w:pPr>
      <w:r>
        <w:t xml:space="preserve">Marwick, Ben, and Suzanne E. Pilaar Birch</w:t>
      </w:r>
      <w:r>
        <w:br w:type="textWrapping"/>
      </w:r>
      <w:r>
        <w:t xml:space="preserve">2018 A Standard for the Scholarly Citation of Archaeological Data as an Incentive to Data Sharing.</w:t>
      </w:r>
      <w:r>
        <w:t xml:space="preserve"> </w:t>
      </w:r>
      <w:r>
        <w:rPr>
          <w:i/>
        </w:rPr>
        <w:t xml:space="preserve">Advances in Archaeological Practice</w:t>
      </w:r>
      <w:r>
        <w:t xml:space="preserve"> </w:t>
      </w:r>
      <w:r>
        <w:t xml:space="preserve">6:1–19.</w:t>
      </w:r>
    </w:p>
    <w:p>
      <w:pPr>
        <w:pStyle w:val="BodyText"/>
      </w:pPr>
      <w:r>
        <w:t xml:space="preserve">Mauss, Marcel</w:t>
      </w:r>
      <w:r>
        <w:br w:type="textWrapping"/>
      </w:r>
      <w:r>
        <w:t xml:space="preserve">1954</w:t>
      </w:r>
      <w:r>
        <w:t xml:space="preserve"> </w:t>
      </w:r>
      <w:r>
        <w:rPr>
          <w:i/>
        </w:rPr>
        <w:t xml:space="preserve">The gift: forms and functions of exchange in archaic societies</w:t>
      </w:r>
      <w:r>
        <w:t xml:space="preserve">., editorIan Cunnison. Cohen &amp; West, London.</w:t>
      </w:r>
    </w:p>
    <w:p>
      <w:pPr>
        <w:pStyle w:val="BodyText"/>
      </w:pPr>
      <w:r>
        <w:t xml:space="preserve">Morris, I</w:t>
      </w:r>
      <w:r>
        <w:br w:type="textWrapping"/>
      </w:r>
      <w:r>
        <w:t xml:space="preserve">1987</w:t>
      </w:r>
      <w:r>
        <w:t xml:space="preserve"> </w:t>
      </w:r>
      <w:r>
        <w:rPr>
          <w:i/>
        </w:rPr>
        <w:t xml:space="preserve">Burial and Ancient Society: The Rise of the Greek City-state</w:t>
      </w:r>
      <w:r>
        <w:t xml:space="preserve">. Cambridge University Press, Cambridge.</w:t>
      </w:r>
    </w:p>
    <w:p>
      <w:pPr>
        <w:pStyle w:val="BodyText"/>
      </w:pPr>
      <w:r>
        <w:t xml:space="preserve">Morris, I</w:t>
      </w:r>
      <w:r>
        <w:br w:type="textWrapping"/>
      </w:r>
      <w:r>
        <w:t xml:space="preserve">1997 Periodization and the Heroes: Inventing a Dark Age. In</w:t>
      </w:r>
      <w:r>
        <w:t xml:space="preserve"> </w:t>
      </w:r>
      <w:r>
        <w:rPr>
          <w:i/>
        </w:rPr>
        <w:t xml:space="preserve">Inventing Ancient Culture</w:t>
      </w:r>
      <w:r>
        <w:t xml:space="preserve">, Mark Golden and Peter Toohey, editors, pp. 96–131. Routledge, London.</w:t>
      </w:r>
    </w:p>
    <w:p>
      <w:pPr>
        <w:pStyle w:val="BodyText"/>
      </w:pPr>
      <w:r>
        <w:t xml:space="preserve">Musgrave, J.H.</w:t>
      </w:r>
      <w:r>
        <w:br w:type="textWrapping"/>
      </w:r>
      <w:r>
        <w:t xml:space="preserve">1996 The Human Bones. In</w:t>
      </w:r>
      <w:r>
        <w:t xml:space="preserve"> </w:t>
      </w:r>
      <w:r>
        <w:rPr>
          <w:i/>
        </w:rPr>
        <w:t xml:space="preserve">Knossos North Cemetery: Early Greek Tombs</w:t>
      </w:r>
      <w:r>
        <w:t xml:space="preserve">, J.N. Coldstream and H W Catling, editors, pp. 677–702. The British School at Athens Supplement 28. Vol.II, London.</w:t>
      </w:r>
    </w:p>
    <w:p>
      <w:pPr>
        <w:pStyle w:val="BodyText"/>
      </w:pPr>
      <w:r>
        <w:t xml:space="preserve">Nowicki, Krzysztof</w:t>
      </w:r>
      <w:r>
        <w:br w:type="textWrapping"/>
      </w:r>
      <w:r>
        <w:t xml:space="preserve">2000</w:t>
      </w:r>
      <w:r>
        <w:t xml:space="preserve"> </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 Aoristic analysis: the spatial interpretation of unspecific temporal events.</w:t>
      </w:r>
      <w:r>
        <w:t xml:space="preserve"> </w:t>
      </w:r>
      <w:r>
        <w:rPr>
          <w:i/>
        </w:rPr>
        <w:t xml:space="preserve">International Journal of Geographical Information Science</w:t>
      </w:r>
      <w:r>
        <w:t xml:space="preserve"> </w:t>
      </w:r>
      <w:r>
        <w:t xml:space="preserve">14(7). October:669–679.</w:t>
      </w:r>
    </w:p>
    <w:p>
      <w:pPr>
        <w:pStyle w:val="BodyText"/>
      </w:pPr>
      <w:r>
        <w:t xml:space="preserve">Schreiber, N</w:t>
      </w:r>
      <w:r>
        <w:br w:type="textWrapping"/>
      </w:r>
      <w:r>
        <w:t xml:space="preserve">2003</w:t>
      </w:r>
      <w:r>
        <w:t xml:space="preserve"> </w:t>
      </w:r>
      <w:r>
        <w:rPr>
          <w:i/>
        </w:rPr>
        <w:t xml:space="preserve">The Cypro-Phoenician Pottery of the Iron Age</w:t>
      </w:r>
      <w:r>
        <w:t xml:space="preserve">. Brill, Leiden/Boston.</w:t>
      </w:r>
    </w:p>
    <w:p>
      <w:pPr>
        <w:pStyle w:val="BodyText"/>
      </w:pPr>
      <w:r>
        <w:t xml:space="preserve">Snodgrass, AM</w:t>
      </w:r>
      <w:r>
        <w:br w:type="textWrapping"/>
      </w:r>
      <w:r>
        <w:t xml:space="preserve">1996 Iron. In</w:t>
      </w:r>
      <w:r>
        <w:t xml:space="preserve"> </w:t>
      </w:r>
      <w:r>
        <w:rPr>
          <w:i/>
        </w:rPr>
        <w:t xml:space="preserve">Knossos North Cemetery: Early Greek Tombs</w:t>
      </w:r>
      <w:r>
        <w:t xml:space="preserve">, J N Coldstream and H W Catling, editors, pp. 575–598. The British School at Athens Supplement 28. Vol.II, London.</w:t>
      </w:r>
    </w:p>
    <w:p>
      <w:pPr>
        <w:pStyle w:val="BodyText"/>
      </w:pPr>
      <w:r>
        <w:t xml:space="preserve">Snodgrass, Anthony McElrea</w:t>
      </w:r>
      <w:r>
        <w:br w:type="textWrapping"/>
      </w:r>
      <w:r>
        <w:t xml:space="preserve">1971</w:t>
      </w:r>
      <w:r>
        <w:t xml:space="preserve"> </w:t>
      </w:r>
      <w:r>
        <w:rPr>
          <w:i/>
        </w:rPr>
        <w:t xml:space="preserve">The Dark Age of Greece. An Archaeological Survey of the Eleventh to the Eighth Centuries BC.</w:t>
      </w:r>
      <w:r>
        <w:t xml:space="preserve"> </w:t>
      </w:r>
      <w:r>
        <w:t xml:space="preserve">Edinburgh University Press, Edinburgh.</w:t>
      </w:r>
    </w:p>
    <w:p>
      <w:pPr>
        <w:pStyle w:val="BodyText"/>
      </w:pPr>
      <w:r>
        <w:t xml:space="preserve">Wallace, Saro</w:t>
      </w:r>
      <w:r>
        <w:br w:type="textWrapping"/>
      </w:r>
      <w:r>
        <w:t xml:space="preserve">2010</w:t>
      </w:r>
      <w:r>
        <w:t xml:space="preserve"> </w:t>
      </w:r>
      <w:r>
        <w:rPr>
          <w:i/>
        </w:rPr>
        <w:t xml:space="preserve">Ancient Crete: From Successful Collapse to Democracy’s Alternatives, Twelth to Fifth Centuries BC</w:t>
      </w:r>
      <w:r>
        <w:t xml:space="preserve">. Cambridge University Press#, Cambridge.</w:t>
      </w:r>
    </w:p>
    <w:p>
      <w:pPr>
        <w:pStyle w:val="BodyText"/>
      </w:pPr>
      <w:r>
        <w:t xml:space="preserve">Watrous, L. Vance, Donald C Haggis, Krzysztof Nowicki, Natalia Vogeikoff-Brogan, and Maryanne Schultz</w:t>
      </w:r>
      <w:r>
        <w:br w:type="textWrapping"/>
      </w:r>
      <w:r>
        <w:t xml:space="preserve">2012</w:t>
      </w:r>
      <w:r>
        <w:t xml:space="preserve"> </w:t>
      </w:r>
      <w:r>
        <w:rPr>
          <w:i/>
        </w:rPr>
        <w:t xml:space="preserve">An archaeological survey of the Gournia landscape: a regional history of the Mirabello Bay, Crete, in antiquity</w:t>
      </w:r>
      <w:r>
        <w:t xml:space="preserve">. Prehistory monographs ; 37. INSTAP Academic Press, Philadelphia.</w:t>
      </w:r>
    </w:p>
    <w:p>
      <w:pPr>
        <w:pStyle w:val="BodyText"/>
      </w:pPr>
      <w:r>
        <w:t xml:space="preserve">Whitley, James</w:t>
      </w:r>
      <w:r>
        <w:br w:type="textWrapping"/>
      </w:r>
      <w:r>
        <w:t xml:space="preserve">2002 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 Cambridge University Press:217–232.</w:t>
      </w:r>
    </w:p>
    <w:p>
      <w:pPr>
        <w:pStyle w:val="BodyText"/>
      </w:pPr>
      <w:r>
        <w:t xml:space="preserve">Whitley, James</w:t>
      </w:r>
      <w:r>
        <w:br w:type="textWrapping"/>
      </w:r>
      <w:r>
        <w:t xml:space="preserve">2004 Style Wars: towards an explanation of Cretan exceptionalism.</w:t>
      </w:r>
      <w:r>
        <w:t xml:space="preserve"> </w:t>
      </w:r>
      <w:r>
        <w:rPr>
          <w:i/>
        </w:rPr>
        <w:t xml:space="preserve">British School at Athens Studies</w:t>
      </w:r>
      <w:r>
        <w:t xml:space="preserve"> </w:t>
      </w:r>
      <w:r>
        <w:t xml:space="preserve">12:433–442.</w:t>
      </w:r>
    </w:p>
    <w:p>
      <w:pPr>
        <w:pStyle w:val="BodyText"/>
      </w:pPr>
      <w:r>
        <w:t xml:space="preserve">Whitley, James</w:t>
      </w:r>
      <w:r>
        <w:br w:type="textWrapping"/>
      </w:r>
      <w:r>
        <w:t xml:space="preserve">2011 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w:t>
      </w:r>
      <w:r>
        <w:t xml:space="preserve"> </w:t>
      </w:r>
      <w:hyperlink r:id="rId76">
        <w:r>
          <w:rPr>
            <w:rStyle w:val="Hyperlink"/>
          </w:rPr>
          <w:t xml:space="preserve">http://muse.jhu.edu/content/crossref/journals/american{\_}journal{\_}of{\_}philology/v132/132.4.whitley.html</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77" w:name="pagebreak-3"/>
      <w:bookmarkEnd w:id="77"/>
      <w:r>
        <w:t xml:space="preserve">pagebreak</w:t>
      </w:r>
    </w:p>
    <w:p>
      <w:pPr>
        <w:pStyle w:val="Heading1"/>
      </w:pPr>
      <w:bookmarkStart w:id="78" w:name="captions"/>
      <w:bookmarkEnd w:id="78"/>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counts are based on the ceramic phase considered most likely to correspond to the tomb’s first use (including simply</w:t>
      </w:r>
      <w:r>
        <w:rPr>
          <w:i/>
        </w:rPr>
        <w:t xml:space="preserve"> </w:t>
      </w:r>
      <w:r>
        <w:rPr>
          <w:i/>
        </w:rPr>
        <w:t xml:space="preserve">‘</w:t>
      </w:r>
      <w:r>
        <w:rPr>
          <w:i/>
        </w:rPr>
        <w:t xml:space="preserve">PG</w:t>
      </w:r>
      <w:r>
        <w:rPr>
          <w:i/>
        </w:rPr>
        <w:t xml:space="preserve">’</w:t>
      </w:r>
      <w:r>
        <w:rPr>
          <w:i/>
        </w:rPr>
        <w:t xml:space="preserve">,</w:t>
      </w:r>
      <w:r>
        <w:rPr>
          <w:i/>
        </w:rPr>
        <w:t xml:space="preserve"> </w:t>
      </w:r>
      <w:r>
        <w:rPr>
          <w:i/>
        </w:rPr>
        <w:t xml:space="preserve">‘</w:t>
      </w:r>
      <w:r>
        <w:rPr>
          <w:i/>
        </w:rPr>
        <w:t xml:space="preserve">G</w:t>
      </w:r>
      <w:r>
        <w:rPr>
          <w:i/>
        </w:rPr>
        <w:t xml:space="preserve">’</w:t>
      </w:r>
      <w:r>
        <w:rPr>
          <w:i/>
        </w:rPr>
        <w:t xml:space="preserve"> </w:t>
      </w:r>
      <w:r>
        <w:rPr>
          <w:i/>
        </w:rPr>
        <w:t xml:space="preserve">and</w:t>
      </w:r>
      <w:r>
        <w:rPr>
          <w:i/>
        </w:rPr>
        <w:t xml:space="preserve"> </w:t>
      </w:r>
      <w:r>
        <w:rPr>
          <w:i/>
        </w:rPr>
        <w:t xml:space="preserve">‘</w:t>
      </w:r>
      <w:r>
        <w:rPr>
          <w:i/>
        </w:rPr>
        <w:t xml:space="preserve">O</w:t>
      </w:r>
      <w:r>
        <w:rPr>
          <w:i/>
        </w:rPr>
        <w:t xml:space="preserve">’</w:t>
      </w:r>
      <w:r>
        <w:rPr>
          <w:i/>
        </w:rPr>
        <w:t xml:space="preserve"> </w:t>
      </w:r>
      <w:r>
        <w:rPr>
          <w:i/>
        </w:rPr>
        <w:t xml:space="preserve">where no greater specificity was possible). On the right, aoristic sums are presented, spreading the uncertainty associated with those general assignations. In both cases, tombs lacking any securely dateable pottery are excluded.</w:t>
      </w:r>
      <w:r>
        <w:t xml:space="preserve"> </w:t>
      </w:r>
      <w:r>
        <w:rPr>
          <w:i/>
        </w:rPr>
        <w:t xml:space="preserve">Abbreviations</w:t>
      </w:r>
      <w:r>
        <w:t xml:space="preserve"> </w:t>
      </w:r>
      <w:r>
        <w:rPr>
          <w:i/>
        </w:rPr>
        <w:t xml:space="preserve">SM - Subminoan; (E/M/L)PG - (Early/Middle/Late) Protogeometric; PGB - Protogeometric B; (E/M/L)G - (Early/Middle/Late) Geometric; (E/L)O - (Early/Late) Orientalising</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Aoristic sums for the Group A and Group B tombs, as defined above.</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 comparing the dimensions of</w:t>
      </w:r>
      <w:r>
        <w:t xml:space="preserve"> </w:t>
      </w:r>
      <w:r>
        <w:t xml:space="preserve">dromos</w:t>
      </w:r>
      <w:r>
        <w:t xml:space="preserve"> </w:t>
      </w:r>
      <w:r>
        <w:rPr>
          <w:i/>
        </w:rPr>
        <w:t xml:space="preserve">length and chamber area. Groups A and B, defined earlier, are illustrated and labelled in green and orange respectively, while all remaining tombs (</w:t>
      </w:r>
      <w:r>
        <w:rPr>
          <w:i/>
        </w:rPr>
        <w:t xml:space="preserve">‘</w:t>
      </w:r>
      <w:r>
        <w:rPr>
          <w:i/>
        </w:rPr>
        <w:t xml:space="preserve">Group C</w:t>
      </w:r>
      <w:r>
        <w:rPr>
          <w:i/>
        </w:rPr>
        <w:t xml:space="preserve">’</w:t>
      </w:r>
      <w:r>
        <w:rPr>
          <w:i/>
        </w:rPr>
        <w:t xml:space="preserve">) are in blue.</w:t>
      </w:r>
    </w:p>
    <w:p>
      <w:pPr>
        <w:pStyle w:val="BodyText"/>
      </w:pPr>
      <w:r>
        <w:rPr>
          <w:i/>
        </w:rPr>
        <w:t xml:space="preserve">Figure 13 Scatterplots comparing tomb dimensions (chamber area and</w:t>
      </w:r>
      <w:r>
        <w:t xml:space="preserve"> </w:t>
      </w:r>
      <w:r>
        <w:t xml:space="preserve">dromos</w:t>
      </w:r>
      <w:r>
        <w:t xml:space="preserve"> </w:t>
      </w:r>
      <w:r>
        <w:rPr>
          <w:i/>
        </w:rPr>
        <w:t xml:space="preserve">length) to the estimated total number of burials by tomb. The points area colour-coded as per Figure 12.</w:t>
      </w:r>
    </w:p>
    <w:p>
      <w:pPr>
        <w:pStyle w:val="BodyText"/>
      </w:pPr>
      <w:r>
        <w:rPr>
          <w:i/>
        </w:rPr>
        <w:t xml:space="preserve">Figure 14 Counts of vessels dating to the 9th, 8th and 7th centuries respectively, found in tombs built in the 10th or 9th century which yielded upwards of 50 vessels when excavated. The tombs are colour-coded as per Figure 12.</w:t>
      </w:r>
    </w:p>
    <w:p>
      <w:pPr>
        <w:pStyle w:val="BodyText"/>
      </w:pPr>
      <w:r>
        <w:rPr>
          <w:i/>
        </w:rPr>
        <w:t xml:space="preserve">Figure 15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16 Gini coefficient values through time based on the aoristic sums for all vessels across both cemeteries. Background colours correspond to ceramic periods.</w:t>
      </w:r>
    </w:p>
    <w:p>
      <w:pPr>
        <w:pStyle w:val="BodyText"/>
      </w:pPr>
      <w:r>
        <w:rPr>
          <w:i/>
        </w:rPr>
        <w:t xml:space="preserve">Figure 17 Aoristic sums of imported and</w:t>
      </w:r>
      <w:r>
        <w:rPr>
          <w:i/>
        </w:rPr>
        <w:t xml:space="preserve"> </w:t>
      </w:r>
      <w:r>
        <w:rPr>
          <w:i/>
        </w:rPr>
        <w:t xml:space="preserve">‘</w:t>
      </w:r>
      <w:r>
        <w:rPr>
          <w:i/>
        </w:rPr>
        <w:t xml:space="preserve">oriental</w:t>
      </w:r>
      <w:r>
        <w:rPr>
          <w:i/>
        </w:rPr>
        <w:t xml:space="preserve">’</w:t>
      </w:r>
      <w:r>
        <w:rPr>
          <w:i/>
        </w:rPr>
        <w:t xml:space="preserve"> </w:t>
      </w:r>
      <w:r>
        <w:rPr>
          <w:i/>
        </w:rPr>
        <w:t xml:space="preserve">imitation vessels through time across both cemeteries, colour-coded by regional origin in the case of imports.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9" w:name="pagebreak-4"/>
      <w:bookmarkEnd w:id="79"/>
      <w:r>
        <w:t xml:space="preserve">pagebreak</w:t>
      </w:r>
    </w:p>
    <w:p>
      <w:pPr>
        <w:pStyle w:val="Heading1"/>
      </w:pPr>
      <w:bookmarkStart w:id="80" w:name="figures"/>
      <w:bookmarkEnd w:id="80"/>
      <w:r>
        <w:t xml:space="preserve">Figures</w:t>
      </w:r>
    </w:p>
    <w:p>
      <w:pPr>
        <w:pStyle w:val="Heading5"/>
      </w:pPr>
      <w:bookmarkStart w:id="81" w:name="pagebreak-5"/>
      <w:bookmarkEnd w:id="81"/>
      <w:r>
        <w:t xml:space="preserve">pagebreak</w:t>
      </w:r>
    </w:p>
    <w:p>
      <w:pPr>
        <w:pStyle w:val="Heading1"/>
      </w:pPr>
      <w:bookmarkStart w:id="82" w:name="tables"/>
      <w:bookmarkEnd w:id="82"/>
      <w:r>
        <w:t xml:space="preserve">Tables</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Heading5"/>
      </w:pPr>
      <w:bookmarkStart w:id="83" w:name="pagebreak-6"/>
      <w:bookmarkEnd w:id="83"/>
      <w:r>
        <w:t xml:space="preserve">pagebreak</w:t>
      </w:r>
    </w:p>
    <w:p>
      <w:pPr>
        <w:pStyle w:val="Heading3"/>
      </w:pPr>
      <w:bookmarkStart w:id="84" w:name="colophon"/>
      <w:bookmarkEnd w:id="84"/>
      <w:r>
        <w:t xml:space="preserve">Colophon</w:t>
      </w:r>
    </w:p>
    <w:p>
      <w:pPr>
        <w:pStyle w:val="FirstParagraph"/>
      </w:pPr>
      <w:r>
        <w:t xml:space="preserve">This report was generated on 2019-06-05 13:56:16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2019-06-05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ggrepel      * 0.8.0   2018-05-09 [1] CRAN (R 3.5.3)</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[fd3e488] 2019-06-04: Final rewrite</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9b2518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74" Target="http://bmcr.brynmawr.edu/2011/2011-04-52.html" TargetMode="External" /><Relationship Type="http://schemas.openxmlformats.org/officeDocument/2006/relationships/hyperlink" Id="rId75" Target="http://link.springer.com/10.1007/s10816-015-9272-9" TargetMode="External" /><Relationship Type="http://schemas.openxmlformats.org/officeDocument/2006/relationships/hyperlink" Id="rId76" Target="http://muse.jhu.edu/content/crossref/journals/american{\_}journal{\_}of{\_}philology/v132/132.4.whitley.html" TargetMode="External" /><Relationship Type="http://schemas.openxmlformats.org/officeDocument/2006/relationships/hyperlink" Id="rId73" Target="http://www.chronique.efa.gr/index.php/fiches/voir/2804/" TargetMode="External" /><Relationship Type="http://schemas.openxmlformats.org/officeDocument/2006/relationships/hyperlink" Id="rId72"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4" Target="http://bmcr.brynmawr.edu/2011/2011-04-52.html" TargetMode="External" /><Relationship Type="http://schemas.openxmlformats.org/officeDocument/2006/relationships/hyperlink" Id="rId75" Target="http://link.springer.com/10.1007/s10816-015-9272-9" TargetMode="External" /><Relationship Type="http://schemas.openxmlformats.org/officeDocument/2006/relationships/hyperlink" Id="rId76" Target="http://muse.jhu.edu/content/crossref/journals/american{\_}journal{\_}of{\_}philology/v132/132.4.whitley.html" TargetMode="External" /><Relationship Type="http://schemas.openxmlformats.org/officeDocument/2006/relationships/hyperlink" Id="rId73" Target="http://www.chronique.efa.gr/index.php/fiches/voir/2804/" TargetMode="External" /><Relationship Type="http://schemas.openxmlformats.org/officeDocument/2006/relationships/hyperlink" Id="rId72"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2019-06-05T12:56:22Z</dcterms:created>
  <dcterms:modified xsi:type="dcterms:W3CDTF">2019-06-05T12:56:22Z</dcterms:modified>
</cp:coreProperties>
</file>